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30" w:rsidRPr="00A204E8" w:rsidRDefault="005C2E30" w:rsidP="005C2E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04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Одержання та аналіз лікарських засобів, що містять </w:t>
      </w:r>
      <w:r w:rsidRPr="00A204E8">
        <w:rPr>
          <w:rFonts w:ascii="Times New Roman" w:hAnsi="Times New Roman" w:cs="Times New Roman"/>
          <w:b/>
          <w:i/>
          <w:sz w:val="28"/>
          <w:szCs w:val="28"/>
          <w:lang w:val="uk-UA"/>
        </w:rPr>
        <w:t>гетероциклічні сполуки</w:t>
      </w:r>
    </w:p>
    <w:p w:rsidR="005C2E30" w:rsidRPr="00A204E8" w:rsidRDefault="005C2E30" w:rsidP="005C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4E8">
        <w:rPr>
          <w:rFonts w:ascii="Times New Roman" w:hAnsi="Times New Roman" w:cs="Times New Roman"/>
          <w:sz w:val="28"/>
          <w:szCs w:val="28"/>
          <w:lang w:val="uk-UA"/>
        </w:rPr>
        <w:t>Класифікація гетероциклічних сполук. Похідні фурану: 5-нітрофуран, фурадонин, фурацилін, фуразолідон, фурасімід. Похідні піролу: пірацетам, повідон. Похідні піразолу: антипірин, амідопірин, анальгін, бутадіон. Похідні імідазолу: тімазол, метронідазол. Похідні триазолу: тіотриазолін. Похідні імідазолу: клоні дину гідро хлорид. Похідні піридину: нікотинова кислота, амід нікотинової кислоти, кордіамін, фтивазид. Похідні   1,4-дигідропіридину. Залежність біологічної активності 1,4-ДГП від їх будови. Похідні піперидину: промедол. Похідні хінуклідину: ацеклідин. Похідні барбітурової кислоти. Похідні гексагідропіримідинону. Похідні індолу: індометацин. Похідні хіноліну: хінозол, хінгамін.</w:t>
      </w:r>
    </w:p>
    <w:p w:rsidR="005C2E30" w:rsidRDefault="005C2E30" w:rsidP="005C2E30"/>
    <w:p w:rsidR="005C2E30" w:rsidRPr="00A204E8" w:rsidRDefault="005C2E30" w:rsidP="005C2E3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1. Лікарські засоби – похідні п’ятичленних гетероциклів.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2. Лікарські засоби – похідні шестичленних гетероциклів з одним гетероатомом.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3. Лікарські засоби – похідні шестичленних гетероциклів з двома гетероатомами.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5C2E30" w:rsidRPr="00A204E8" w:rsidRDefault="005C2E30" w:rsidP="005C2E3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lastRenderedPageBreak/>
        <w:t>4. Лікарські засоби – похідні конденсованих гетероциклів.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5C2E30" w:rsidRPr="00A204E8" w:rsidRDefault="005C2E30" w:rsidP="005C2E30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04E8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5C2E30" w:rsidRPr="00A204E8" w:rsidRDefault="005C2E30" w:rsidP="005C2E30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1. Фармацевтична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П.О. Безуглий, В.А. Георгіянц,  І.К. Гриценко та ін. – Вінниця: Нова Книга, 2017. – С. 252-328.</w:t>
      </w:r>
    </w:p>
    <w:p w:rsidR="005C2E30" w:rsidRPr="00A204E8" w:rsidRDefault="005C2E30" w:rsidP="005C2E30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2. Фармацевтична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П.О. Безуглий, В.А. Георгіянц,  І.К. Гриценко та ін.– Вінниця: Нова Книга, 2008. – С. 299-396.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3. Ніжник Г.П. Фармацевтична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Г.П. Ніжник. – Київ: Медицина, 2010. – С. 153-185.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4. Біологічна і біоорганічна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/ Б.С. Зіменковський, В.А. Музиченко, І.В. Ніженковська та ін. – К.: Медицина, 2017. – С. 124-158.</w:t>
      </w:r>
    </w:p>
    <w:p w:rsidR="005C2E30" w:rsidRPr="00A204E8" w:rsidRDefault="005C2E30" w:rsidP="005C2E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4E8">
        <w:rPr>
          <w:rFonts w:ascii="Times New Roman" w:hAnsi="Times New Roman"/>
          <w:sz w:val="28"/>
          <w:szCs w:val="28"/>
          <w:lang w:val="uk-UA"/>
        </w:rPr>
        <w:t>5. Речицький О.Н. Органічна хімія</w:t>
      </w:r>
      <w:r w:rsidRPr="00A204E8">
        <w:rPr>
          <w:rFonts w:ascii="Times New Roman" w:hAnsi="Times New Roman"/>
          <w:color w:val="000000"/>
          <w:sz w:val="28"/>
          <w:szCs w:val="28"/>
          <w:lang w:val="uk-UA"/>
        </w:rPr>
        <w:t>: навч. посібник у 3 ч. /</w:t>
      </w:r>
      <w:r w:rsidRPr="00A204E8">
        <w:rPr>
          <w:rFonts w:ascii="Times New Roman" w:hAnsi="Times New Roman"/>
          <w:sz w:val="28"/>
          <w:szCs w:val="28"/>
          <w:lang w:val="uk-UA"/>
        </w:rPr>
        <w:t xml:space="preserve">                        О.Н. Речицький, С.Ф. Решнова. – Херсон: ХДУ, 2013. – С. 814-879.</w:t>
      </w:r>
    </w:p>
    <w:p w:rsidR="005C2E30" w:rsidRPr="00A204E8" w:rsidRDefault="005C2E30" w:rsidP="005C2E30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pacing w:val="0"/>
          <w:lang w:val="uk-UA"/>
        </w:rPr>
      </w:pPr>
      <w:r w:rsidRPr="00A204E8">
        <w:rPr>
          <w:rFonts w:ascii="Times New Roman" w:hAnsi="Times New Roman"/>
          <w:spacing w:val="0"/>
          <w:lang w:val="uk-UA"/>
        </w:rPr>
        <w:t>6. Аналіз лікарських препаратів: лабораторний практикум / О.Н. Речицький, С.Ф. Решнова, В.А. Філіпова та ін. – Херсон: ХДУ, 2017. – С. 10-14.</w:t>
      </w:r>
    </w:p>
    <w:p w:rsidR="005C2E30" w:rsidRPr="00A204E8" w:rsidRDefault="005C2E30" w:rsidP="005C2E30">
      <w:pPr>
        <w:rPr>
          <w:lang w:val="uk-UA"/>
        </w:rPr>
      </w:pPr>
      <w:bookmarkStart w:id="0" w:name="_GoBack"/>
      <w:bookmarkEnd w:id="0"/>
    </w:p>
    <w:p w:rsidR="005C2E30" w:rsidRDefault="005C2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2E30" w:rsidRDefault="005C2E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7E0" w:rsidRDefault="00632B5E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78" style="position:absolute;margin-left:58.35pt;margin-top:12.9pt;width:376.8pt;height:129.6pt;z-index:251815936" strokeweight="5pt">
            <v:stroke linestyle="thickThin"/>
            <v:shadow color="#868686"/>
            <v:textbox style="mso-next-textbox:#_x0000_s1178">
              <w:txbxContent>
                <w:p w:rsidR="00585F10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Залежність біологічної активності похідних </w:t>
                  </w:r>
                </w:p>
                <w:p w:rsidR="00585F10" w:rsidRPr="008C1DF3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1,4-дігідропіридинів від складу і будови</w:t>
                  </w:r>
                </w:p>
                <w:p w:rsidR="00585F10" w:rsidRPr="008C1DF3" w:rsidRDefault="00585F10" w:rsidP="00DB7CF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7E0" w:rsidRDefault="00AF57E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1E2F" w:rsidRDefault="00591E2F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1E2F" w:rsidRDefault="00591E2F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1E2F" w:rsidRDefault="00591E2F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1E2F" w:rsidRDefault="00632B5E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line id="_x0000_s1179" style="position:absolute;flip:x;z-index:251817984" from="94.95pt,8.1pt" to="126.75pt,37.5pt" strokeweight="3pt">
            <v:stroke endarrow="block" linestyle="thinThin"/>
            <v:shadow color="#868686"/>
          </v:line>
        </w:pict>
      </w:r>
    </w:p>
    <w:p w:rsidR="00591E2F" w:rsidRDefault="00632B5E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86" style="position:absolute;z-index:251823104" from="238.35pt,4.5pt" to="238.35pt,111.9pt" strokeweight="3pt">
            <v:stroke endarrow="block" linestyle="thinThin"/>
            <v:shadow color="#868686"/>
          </v:line>
        </w:pict>
      </w: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line id="_x0000_s1184" style="position:absolute;z-index:251821056" from="321.15pt,-.35pt" to="359.55pt,23.7pt" strokeweight="3pt">
            <v:stroke endarrow="block" linestyle="thinThin"/>
            <v:shadow color="#868686"/>
          </v:line>
        </w:pict>
      </w:r>
    </w:p>
    <w:p w:rsidR="00591E2F" w:rsidRDefault="00632B5E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oundrect id="_x0000_s1185" style="position:absolute;margin-left:276.75pt;margin-top:9.9pt;width:174.6pt;height:47.4pt;z-index:251822080" arcsize="10923f" strokeweight="3pt">
            <v:stroke linestyle="thinThin"/>
            <v:textbox style="mso-next-textbox:#_x0000_s1185">
              <w:txbxContent>
                <w:p w:rsidR="00585F10" w:rsidRPr="00BD3406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Залежність від стереохімічної будови</w:t>
                  </w:r>
                </w:p>
                <w:p w:rsidR="00585F10" w:rsidRPr="00BD3406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85F10" w:rsidRPr="00F95D53" w:rsidRDefault="00585F10" w:rsidP="00DB7CF3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oundrect id="_x0000_s1180" style="position:absolute;margin-left:22.95pt;margin-top:9.9pt;width:174.6pt;height:47.4pt;z-index:251819008" arcsize="10923f" strokeweight="3pt">
            <v:stroke linestyle="thinThin"/>
            <v:textbox style="mso-next-textbox:#_x0000_s1180">
              <w:txbxContent>
                <w:p w:rsidR="00585F10" w:rsidRPr="00BD3406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Залежність від хімічної будови</w:t>
                  </w:r>
                </w:p>
                <w:p w:rsidR="00585F10" w:rsidRPr="00BD3406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85F10" w:rsidRPr="00F95D53" w:rsidRDefault="00585F10" w:rsidP="00DB7CF3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591E2F" w:rsidRDefault="00591E2F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1E2F" w:rsidRDefault="00591E2F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632B5E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87" style="position:absolute;margin-left:156.15pt;margin-top:1.5pt;width:174.6pt;height:30pt;z-index:251824128" arcsize="10923f" strokeweight="3pt">
            <v:stroke linestyle="thinThin"/>
            <v:textbox style="mso-next-textbox:#_x0000_s1187">
              <w:txbxContent>
                <w:p w:rsidR="00585F10" w:rsidRPr="00BD3406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Механізм біодії</w:t>
                  </w:r>
                </w:p>
                <w:p w:rsidR="00585F10" w:rsidRPr="00BD3406" w:rsidRDefault="00585F10" w:rsidP="00DB7CF3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85F10" w:rsidRPr="00F95D53" w:rsidRDefault="00585F10" w:rsidP="00DB7CF3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Pr="00FB0C40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DB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1E2F" w:rsidRDefault="00591E2F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1E2F" w:rsidRDefault="00591E2F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94" style="position:absolute;margin-left:61.35pt;margin-top:.3pt;width:322.5pt;height:132pt;z-index:251827200" strokeweight="5pt">
            <v:stroke linestyle="thickThin"/>
            <v:shadow color="#868686"/>
            <v:textbox style="mso-next-textbox:#_x0000_s1194">
              <w:txbxContent>
                <w:p w:rsidR="00585F10" w:rsidRDefault="00585F10" w:rsidP="00452080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 w:rsidRPr="00D1236A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Залежність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біологічної активності </w:t>
                  </w:r>
                </w:p>
                <w:p w:rsidR="00585F10" w:rsidRPr="00D1236A" w:rsidRDefault="00585F10" w:rsidP="00452080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1,4-дигідропіринів</w:t>
                  </w:r>
                  <w:r w:rsidRPr="00D1236A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 від будови</w:t>
                  </w:r>
                </w:p>
                <w:p w:rsidR="00585F10" w:rsidRPr="00D1236A" w:rsidRDefault="00585F10" w:rsidP="00452080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xbxContent>
            </v:textbox>
          </v:oval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P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93" style="position:absolute;z-index:251826176" from="93.15pt,10.5pt" to="93.15pt,42.3pt" strokeweight="3pt">
            <v:stroke endarrow="block" linestyle="thinThin"/>
            <v:shadow color="#868686"/>
          </v:line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058" w:rsidRDefault="008A2058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95" style="position:absolute;margin-left:26.25pt;margin-top:.9pt;width:120.3pt;height:102.6pt;z-index:251828224" arcsize="10923f" strokeweight="3pt">
            <v:stroke linestyle="thinThin"/>
            <v:textbox style="mso-next-textbox:#_x0000_s1195">
              <w:txbxContent>
                <w:p w:rsidR="00585F10" w:rsidRPr="008A2058" w:rsidRDefault="00585F10" w:rsidP="00452080">
                  <w:pPr>
                    <w:jc w:val="center"/>
                    <w:rPr>
                      <w:szCs w:val="28"/>
                      <w:lang w:val="uk-UA"/>
                    </w:rPr>
                  </w:pPr>
                  <w:r>
                    <w:object w:dxaOrig="1236" w:dyaOrig="16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81.75pt" o:ole="">
                        <v:imagedata r:id="rId7" o:title=""/>
                      </v:shape>
                      <o:OLEObject Type="Embed" ProgID="ChemDraw.Document.5.0" ShapeID="_x0000_i1025" DrawAspect="Content" ObjectID="_1645862831" r:id="rId8"/>
                    </w:object>
                  </w:r>
                </w:p>
              </w:txbxContent>
            </v:textbox>
          </v:roundrect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37.85pt;margin-top:6.9pt;width:.15pt;height:346.2pt;z-index:251837440" o:connectortype="straight" strokeweight="1pt"/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7" style="position:absolute;margin-left:67.9pt;margin-top:3.9pt;width:343.15pt;height:27.55pt;z-index:251830272">
            <v:textbox style="mso-next-textbox:#_x0000_s1197">
              <w:txbxContent>
                <w:p w:rsidR="00585F10" w:rsidRPr="008A2058" w:rsidRDefault="00585F10" w:rsidP="008A2058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8A2058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Наявність 1,4-дигідропіридинового ядра</w:t>
                  </w:r>
                </w:p>
                <w:p w:rsidR="00585F10" w:rsidRPr="008A2058" w:rsidRDefault="00585F10" w:rsidP="008A205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rect>
        </w:pict>
      </w: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6" type="#_x0000_t32" style="position:absolute;margin-left:37.95pt;margin-top:3.25pt;width:30.05pt;height:.05pt;z-index:251829248" o:connectortype="straight" strokeweight="1pt">
            <v:stroke endarrow="block"/>
          </v:shape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8" style="position:absolute;margin-left:67.9pt;margin-top:7.55pt;width:343.15pt;height:53.3pt;z-index:251831296">
            <v:textbox style="mso-next-textbox:#_x0000_s1198">
              <w:txbxContent>
                <w:p w:rsidR="00585F10" w:rsidRPr="00C14CEC" w:rsidRDefault="00585F10" w:rsidP="00452080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Замісники в положенні 1</w:t>
                  </w:r>
                </w:p>
                <w:p w:rsidR="00585F10" w:rsidRPr="008A2058" w:rsidRDefault="00585F10" w:rsidP="008A2058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A205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Для максимальної активності в положенні 1, тобто у атома нітрогену, не повинно бути замісників</w:t>
                  </w:r>
                </w:p>
                <w:p w:rsidR="00585F10" w:rsidRPr="008A2058" w:rsidRDefault="00585F10" w:rsidP="00452080"/>
              </w:txbxContent>
            </v:textbox>
          </v:rect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1" type="#_x0000_t32" style="position:absolute;margin-left:38pt;margin-top:5.15pt;width:30.05pt;height:.05pt;z-index:251834368" o:connectortype="straight" strokeweight="1pt">
            <v:stroke endarrow="block"/>
          </v:shape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Pr="00906945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9" style="position:absolute;margin-left:68.05pt;margin-top:11.15pt;width:343.15pt;height:66pt;z-index:251832320">
            <v:textbox style="mso-next-textbox:#_x0000_s1199">
              <w:txbxContent>
                <w:p w:rsidR="00585F10" w:rsidRPr="00C14CEC" w:rsidRDefault="00585F10" w:rsidP="008A205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Замісники в положенні 2 і 6</w:t>
                  </w:r>
                </w:p>
                <w:p w:rsidR="00585F10" w:rsidRPr="008A2058" w:rsidRDefault="00585F10" w:rsidP="008A2058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Замісники </w:t>
                  </w:r>
                  <w:r w:rsidRPr="008A205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повинні бути низько молекулярними алкілами, але допускається й заміна алкільної групи на NH</w:t>
                  </w:r>
                  <w:r w:rsidRPr="008A2058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uk-UA"/>
                    </w:rPr>
                    <w:t>2</w:t>
                  </w:r>
                  <w:r w:rsidRPr="008A205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-, CN- або CHO-групу</w:t>
                  </w:r>
                </w:p>
                <w:p w:rsidR="00585F10" w:rsidRPr="008A2058" w:rsidRDefault="00585F10" w:rsidP="00452080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452080" w:rsidRPr="00906945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058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2" type="#_x0000_t32" style="position:absolute;margin-left:38pt;margin-top:2.7pt;width:30.05pt;height:.05pt;z-index:251835392" o:connectortype="straight" strokeweight="1pt">
            <v:stroke endarrow="block"/>
          </v:shape>
        </w:pict>
      </w:r>
    </w:p>
    <w:p w:rsidR="008A2058" w:rsidRDefault="008A2058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Pr="00476511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Pr="00906945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080" w:rsidRPr="00906945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00" style="position:absolute;margin-left:67.9pt;margin-top:2.15pt;width:343.15pt;height:63pt;z-index:251833344">
            <v:textbox style="mso-next-textbox:#_x0000_s1200">
              <w:txbxContent>
                <w:p w:rsidR="00585F10" w:rsidRPr="00C14CEC" w:rsidRDefault="00585F10" w:rsidP="008A205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Замісники в положенні 3 і 5</w:t>
                  </w:r>
                </w:p>
                <w:p w:rsidR="00585F10" w:rsidRPr="007918D8" w:rsidRDefault="00585F10" w:rsidP="007918D8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Оптимальними замісниками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є естерні групи, але можуть бути й інші електроноакцептоні замісники: NO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uk-UA"/>
                    </w:rPr>
                    <w:t>2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-, CN-, CH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uk-UA"/>
                    </w:rPr>
                    <w:t>3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C(O)-</w:t>
                  </w:r>
                </w:p>
                <w:p w:rsidR="00585F10" w:rsidRPr="007918D8" w:rsidRDefault="00585F10" w:rsidP="00452080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3" type="#_x0000_t32" style="position:absolute;margin-left:37.85pt;margin-top:1.55pt;width:30.05pt;height:.05pt;z-index:251836416" o:connectortype="straight" strokeweight="1pt">
            <v:stroke endarrow="block"/>
          </v:shape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Pr="009B654C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05" style="position:absolute;margin-left:67.9pt;margin-top:.35pt;width:343.15pt;height:79.2pt;z-index:251838464">
            <v:textbox style="mso-next-textbox:#_x0000_s1205">
              <w:txbxContent>
                <w:p w:rsidR="00585F10" w:rsidRPr="00C14CEC" w:rsidRDefault="00585F10" w:rsidP="007918D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Замісники в положенні 4</w:t>
                  </w:r>
                </w:p>
                <w:p w:rsidR="00585F10" w:rsidRPr="007918D8" w:rsidRDefault="00585F10" w:rsidP="007918D8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Для оптимальної активності повинний знаходитися арильний замісник. При цьому велике значення має положення замісника в ароматичному кільці. </w:t>
                  </w:r>
                  <w:r w:rsidRPr="007918D8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Пара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-замісники знижують активність, а</w:t>
                  </w:r>
                  <w:r w:rsidRPr="007918D8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орто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та</w:t>
                  </w:r>
                  <w:r w:rsidRPr="007918D8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мета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-замісники підвищують активність</w:t>
                  </w:r>
                </w:p>
                <w:p w:rsidR="00585F10" w:rsidRPr="007918D8" w:rsidRDefault="00585F10" w:rsidP="007918D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both"/>
                  </w:pPr>
                </w:p>
              </w:txbxContent>
            </v:textbox>
          </v:rect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632B5E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6" type="#_x0000_t32" style="position:absolute;margin-left:37.85pt;margin-top:8.1pt;width:30.05pt;height:.05pt;z-index:251839488" o:connectortype="straight" strokeweight="1pt">
            <v:stroke endarrow="block"/>
          </v:shape>
        </w:pict>
      </w: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4520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208" style="position:absolute;margin-left:61.35pt;margin-top:.3pt;width:322.5pt;height:132pt;z-index:251842560" strokeweight="5pt">
            <v:stroke linestyle="thickThin"/>
            <v:shadow color="#868686"/>
            <v:textbox style="mso-next-textbox:#_x0000_s1208">
              <w:txbxContent>
                <w:p w:rsidR="00585F10" w:rsidRDefault="00585F10" w:rsidP="007918D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 w:rsidRPr="00D1236A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Залежність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біологічної активності </w:t>
                  </w:r>
                </w:p>
                <w:p w:rsidR="00585F10" w:rsidRPr="00D1236A" w:rsidRDefault="00585F10" w:rsidP="007918D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1,4-дигідропіринів</w:t>
                  </w:r>
                  <w:r w:rsidRPr="00D1236A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 від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стереохімічної </w:t>
                  </w:r>
                  <w:r w:rsidRPr="00D1236A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будови</w:t>
                  </w:r>
                </w:p>
                <w:p w:rsidR="00585F10" w:rsidRPr="00D1236A" w:rsidRDefault="00585F10" w:rsidP="007918D8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xbxContent>
            </v:textbox>
          </v:oval>
        </w:pict>
      </w: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Pr="00452080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07" style="position:absolute;z-index:251841536" from="93.15pt,10.5pt" to="93.15pt,42.3pt" strokeweight="3pt">
            <v:stroke endarrow="block" linestyle="thinThin"/>
            <v:shadow color="#868686"/>
          </v:line>
        </w:pict>
      </w: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09" style="position:absolute;margin-left:26.25pt;margin-top:.9pt;width:198.3pt;height:112.2pt;z-index:251843584" arcsize="10923f" strokeweight="3pt">
            <v:stroke linestyle="thinThin"/>
            <v:textbox style="mso-next-textbox:#_x0000_s1209">
              <w:txbxContent>
                <w:p w:rsidR="00585F10" w:rsidRPr="00B53911" w:rsidRDefault="00585F10" w:rsidP="007918D8">
                  <w:pPr>
                    <w:jc w:val="center"/>
                    <w:rPr>
                      <w:szCs w:val="28"/>
                      <w:lang w:val="uk-UA"/>
                    </w:rPr>
                  </w:pPr>
                  <w:r>
                    <w:object w:dxaOrig="3303" w:dyaOrig="1780">
                      <v:shape id="_x0000_i1026" type="#_x0000_t75" style="width:165pt;height:88.5pt" o:ole="">
                        <v:imagedata r:id="rId9" o:title=""/>
                      </v:shape>
                      <o:OLEObject Type="Embed" ProgID="ChemDraw.Document.5.0" ShapeID="_x0000_i1026" DrawAspect="Content" ObjectID="_1645862832" r:id="rId10"/>
                    </w:object>
                  </w:r>
                </w:p>
              </w:txbxContent>
            </v:textbox>
          </v:roundrect>
        </w:pict>
      </w: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B53911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8" type="#_x0000_t32" style="position:absolute;margin-left:37.85pt;margin-top:2.7pt;width:.15pt;height:379.2pt;flip:x;z-index:251852800" o:connectortype="straight" strokeweight="1pt"/>
        </w:pict>
      </w: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2" style="position:absolute;margin-left:68.05pt;margin-top:.9pt;width:343.15pt;height:35.4pt;z-index:251846656">
            <v:textbox style="mso-next-textbox:#_x0000_s1212">
              <w:txbxContent>
                <w:p w:rsidR="00585F10" w:rsidRPr="007918D8" w:rsidRDefault="00585F10" w:rsidP="007918D8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Конформація</w:t>
                  </w:r>
                  <w:r w:rsidRPr="007918D8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1,4-дігідропіридинового кільця</w:t>
                  </w:r>
                </w:p>
                <w:p w:rsidR="00585F10" w:rsidRPr="007918D8" w:rsidRDefault="00585F10" w:rsidP="0034173B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1,4-Д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ігідропіридини мають конформацію вани</w:t>
                  </w:r>
                </w:p>
                <w:p w:rsidR="00585F10" w:rsidRPr="007918D8" w:rsidRDefault="00585F10" w:rsidP="007918D8">
                  <w:pPr>
                    <w:jc w:val="both"/>
                    <w:rPr>
                      <w:i/>
                      <w:lang w:val="uk-UA"/>
                    </w:rPr>
                  </w:pPr>
                </w:p>
              </w:txbxContent>
            </v:textbox>
          </v:rect>
        </w:pict>
      </w: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0" type="#_x0000_t32" style="position:absolute;margin-left:38pt;margin-top:6.85pt;width:30.05pt;height:.05pt;z-index:251844608" o:connectortype="straight" strokeweight="1pt">
            <v:stroke endarrow="block"/>
          </v:shape>
        </w:pict>
      </w: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1" style="position:absolute;margin-left:68.05pt;margin-top:2.15pt;width:343.15pt;height:62.4pt;z-index:251845632">
            <v:textbox style="mso-next-textbox:#_x0000_s1211">
              <w:txbxContent>
                <w:p w:rsidR="00585F10" w:rsidRPr="00C14CEC" w:rsidRDefault="00585F10" w:rsidP="007918D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Замісники в положенні 3 і 5</w:t>
                  </w:r>
                </w:p>
                <w:p w:rsidR="00585F10" w:rsidRPr="007918D8" w:rsidRDefault="00585F10" w:rsidP="007918D8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Якщо в положеннях 3 та 5 різні замісники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 положення 4 стає хіральним, і</w:t>
                  </w:r>
                  <w:r w:rsidRPr="007918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енантіомери володіють різним, а іноді й протилежною біологічною дією</w:t>
                  </w:r>
                </w:p>
                <w:p w:rsidR="00585F10" w:rsidRPr="007918D8" w:rsidRDefault="00585F10" w:rsidP="007918D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rect>
        </w:pict>
      </w: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5" type="#_x0000_t32" style="position:absolute;margin-left:37.85pt;margin-top:2.15pt;width:30.05pt;height:.05pt;z-index:251849728" o:connectortype="straight" strokeweight="1pt">
            <v:stroke endarrow="block"/>
          </v:shape>
        </w:pict>
      </w: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21" style="position:absolute;margin-left:68.05pt;margin-top:2.75pt;width:343.15pt;height:63pt;z-index:251855872">
            <v:textbox style="mso-next-textbox:#_x0000_s1221">
              <w:txbxContent>
                <w:p w:rsidR="00585F10" w:rsidRPr="00C14CEC" w:rsidRDefault="00585F10" w:rsidP="003D4A55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Замісник в положенні 4</w:t>
                  </w:r>
                </w:p>
                <w:p w:rsidR="00585F10" w:rsidRPr="003D4A55" w:rsidRDefault="00585F10" w:rsidP="003D4A55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Арильний замісник</w:t>
                  </w:r>
                  <w:r w:rsidRPr="003D4A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знаходиться в аксіальному положенні та ортоганальний по відношенню до площини дигідропіридинового кільця</w:t>
                  </w:r>
                </w:p>
                <w:p w:rsidR="00585F10" w:rsidRPr="003D4A55" w:rsidRDefault="00585F10" w:rsidP="003D4A55">
                  <w:pPr>
                    <w:ind w:firstLine="284"/>
                  </w:pPr>
                </w:p>
              </w:txbxContent>
            </v:textbox>
          </v:rect>
        </w:pict>
      </w:r>
    </w:p>
    <w:p w:rsidR="003D4A55" w:rsidRDefault="003D4A55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4A55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6" type="#_x0000_t32" style="position:absolute;margin-left:37.85pt;margin-top:6.3pt;width:30.05pt;height:.05pt;z-index:251850752" o:connectortype="straight" strokeweight="1pt">
            <v:stroke endarrow="block"/>
          </v:shape>
        </w:pict>
      </w:r>
    </w:p>
    <w:p w:rsidR="003D4A55" w:rsidRDefault="003D4A55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4A55" w:rsidRDefault="003D4A55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4A55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3" style="position:absolute;margin-left:67.9pt;margin-top:5.75pt;width:343.15pt;height:117.6pt;z-index:251847680">
            <v:textbox style="mso-next-textbox:#_x0000_s1213">
              <w:txbxContent>
                <w:p w:rsidR="00585F10" w:rsidRPr="00C14CEC" w:rsidRDefault="00585F10" w:rsidP="007918D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Положення замісника Х</w:t>
                  </w:r>
                </w:p>
                <w:p w:rsidR="00585F10" w:rsidRDefault="00585F10" w:rsidP="003D4A55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D4A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Замісник Х повинний знаходитися по той же бік зв’язку C(4)–Ar, щ о й атом Гідрогену біля атома С(4), тобто переважає синперепланарний ротомер</w:t>
                  </w:r>
                </w:p>
                <w:p w:rsidR="00585F10" w:rsidRPr="0034173B" w:rsidRDefault="00585F10" w:rsidP="0034173B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4173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Орто-замісники в бензеновому кільці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сприяють</w:t>
                  </w:r>
                  <w:r w:rsidRPr="0034173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синперипланарному та ортогональному розташуванню арильного залишку, а також </w:t>
                  </w:r>
                  <w:r w:rsidRPr="0034173B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цис/цис</w:t>
                  </w:r>
                  <w:r w:rsidRPr="0034173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-конформації естерних груп в положення 3 та 5</w:t>
                  </w:r>
                </w:p>
                <w:p w:rsidR="00585F10" w:rsidRPr="003D4A55" w:rsidRDefault="00585F10" w:rsidP="003D4A55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585F10" w:rsidRPr="003D4A55" w:rsidRDefault="00585F10" w:rsidP="003D4A55">
                  <w:pPr>
                    <w:ind w:firstLine="284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3D4A55" w:rsidRDefault="003D4A55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7" type="#_x0000_t32" style="position:absolute;margin-left:37.85pt;margin-top:5.75pt;width:30.05pt;height:.05pt;z-index:251851776" o:connectortype="straight" strokeweight="1pt">
            <v:stroke endarrow="block"/>
          </v:shape>
        </w:pict>
      </w:r>
    </w:p>
    <w:p w:rsidR="007918D8" w:rsidRPr="00906945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173B" w:rsidRDefault="0034173B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173B" w:rsidRDefault="0034173B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173B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4" style="position:absolute;margin-left:68.05pt;margin-top:7.55pt;width:343.15pt;height:123pt;z-index:251848704">
            <v:textbox style="mso-next-textbox:#_x0000_s1214">
              <w:txbxContent>
                <w:p w:rsidR="00585F10" w:rsidRPr="00C14CEC" w:rsidRDefault="00585F10" w:rsidP="007918D8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Замісники в положенні 3 і 5</w:t>
                  </w:r>
                </w:p>
                <w:p w:rsidR="00585F10" w:rsidRPr="003D4A55" w:rsidRDefault="00585F10" w:rsidP="003D4A55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D4A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Естерні групи знаходяться в екваторіальному положенні. Для максимальної активності необхідно, щоб карбоніли естерних груп знаходилися в </w:t>
                  </w:r>
                  <w:r w:rsidRPr="003D4A55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цис</w:t>
                  </w:r>
                  <w:r w:rsidRPr="003D4A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-конформації по відношенню до замісників в положеннях 2 та 6 дигідропіридинового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кільця.</w:t>
                  </w:r>
                </w:p>
                <w:p w:rsidR="00585F10" w:rsidRPr="0034173B" w:rsidRDefault="00585F10" w:rsidP="0034173B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4173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Якщо замісники в положеннях 3 та 5 різні, для біологічної активності необхідно, щоб в </w:t>
                  </w:r>
                  <w:r w:rsidRPr="0034173B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цис</w:t>
                  </w:r>
                  <w:r w:rsidRPr="0034173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-конформації була ліва по відношенню до дигідропіридинового кільця естерна група</w:t>
                  </w:r>
                </w:p>
                <w:p w:rsidR="00585F10" w:rsidRPr="003D4A55" w:rsidRDefault="00585F10" w:rsidP="003D4A55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</w:pPr>
                </w:p>
              </w:txbxContent>
            </v:textbox>
          </v:rect>
        </w:pict>
      </w:r>
    </w:p>
    <w:p w:rsidR="0034173B" w:rsidRPr="0034173B" w:rsidRDefault="0034173B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2" type="#_x0000_t32" style="position:absolute;margin-left:37.85pt;margin-top:9.35pt;width:30.05pt;height:.05pt;z-index:251856896" o:connectortype="straight" strokeweight="1pt">
            <v:stroke endarrow="block"/>
          </v:shape>
        </w:pict>
      </w:r>
    </w:p>
    <w:p w:rsidR="007918D8" w:rsidRPr="00476511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Pr="00906945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Pr="00906945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Default="007918D8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8D8" w:rsidRPr="009B654C" w:rsidRDefault="00632B5E" w:rsidP="007918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223" style="position:absolute;margin-left:52.95pt;margin-top:5.1pt;width:376.8pt;height:129.6pt;z-index:251857920" strokeweight="5pt">
            <v:stroke linestyle="thickThin"/>
            <v:shadow color="#868686"/>
            <v:textbox style="mso-next-textbox:#_x0000_s1223">
              <w:txbxContent>
                <w:p w:rsidR="00585F10" w:rsidRDefault="00585F10" w:rsidP="00EB439C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Залежність біологічної активності похідних </w:t>
                  </w:r>
                </w:p>
                <w:p w:rsidR="00585F10" w:rsidRPr="008C1DF3" w:rsidRDefault="00585F10" w:rsidP="00EB439C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1,4-дігідропіридинів від складу і будови</w:t>
                  </w:r>
                </w:p>
                <w:p w:rsidR="00585F10" w:rsidRPr="008C1DF3" w:rsidRDefault="00585F10" w:rsidP="00EB439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1373" w:rsidRDefault="008F137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632B5E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line id="_x0000_s1224" style="position:absolute;z-index:251859968" from="243.7pt,10.5pt" to="243.75pt,27.3pt" strokeweight="3pt">
            <v:stroke endarrow="block" linestyle="thinThin"/>
            <v:shadow color="#868686"/>
          </v:line>
        </w:pict>
      </w: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632B5E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oundrect id="_x0000_s1225" style="position:absolute;margin-left:153.75pt;margin-top:-.3pt;width:174.6pt;height:31.8pt;z-index:251860992" arcsize="10923f" strokeweight="3pt">
            <v:stroke linestyle="thinThin"/>
            <v:textbox style="mso-next-textbox:#_x0000_s1225">
              <w:txbxContent>
                <w:p w:rsidR="00585F10" w:rsidRPr="00BD3406" w:rsidRDefault="00585F10" w:rsidP="00EB439C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Механізм дії</w:t>
                  </w:r>
                </w:p>
                <w:p w:rsidR="00585F10" w:rsidRPr="00BD3406" w:rsidRDefault="00585F10" w:rsidP="00EB439C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85F10" w:rsidRPr="00F95D53" w:rsidRDefault="00585F10" w:rsidP="00EB439C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Pr="00FB0C40" w:rsidRDefault="00632B5E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227" type="#_x0000_t32" style="position:absolute;margin-left:243.75pt;margin-top:3.9pt;width:.05pt;height:15.6pt;z-index:251863040" o:connectortype="straight" strokeweight=".25pt">
            <v:stroke endarrow="block"/>
          </v:shape>
        </w:pict>
      </w:r>
    </w:p>
    <w:p w:rsidR="00EB439C" w:rsidRDefault="00632B5E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6" style="position:absolute;margin-left:24.15pt;margin-top:5.7pt;width:423.6pt;height:235.2pt;z-index:251862016">
            <v:textbox style="mso-next-textbox:#_x0000_s1226">
              <w:txbxContent>
                <w:p w:rsidR="00585F10" w:rsidRPr="00EB439C" w:rsidRDefault="00585F10" w:rsidP="00EB439C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Механізм біодії ДГП ґрунтується на перекриванні каналів клітинної мембрани, через які з середовища, що оточує клітину (де концентрація йонів Са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2+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3·10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-3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моль) у середину клітини (де концентрація йонів Са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2+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1·10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-7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моль) поступають йони кальцію, які викликають різні біореакції, у тому числі скорочення гладеньких м’язів ссудин. Нормальний зворотний стік (відтік) відпрацьованих йонів кальцію проти градієнта концентрацій забезпечується ферментом кальцій-АТФазой (кальцієвим насосом, який використовує енергію АТФ, що одержується за реакцією Enz + АТФ </w:t>
                  </w:r>
                  <w:r w:rsidRPr="00EB43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→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Enz</w:t>
                  </w:r>
                  <w:r w:rsidRPr="00EB43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·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Ф + АДФ + Е) при порушеннях їхнього зворотнього траспорта з клітини або при дуже інтенсивному їх потраплянні у середину її виникає гіпертонія, збільшується навантаження на серцевий м’яз, що може привести до інфаркта міокарда. ДГП взаємодіють зі своїми рецепторами (ДГП-рецептори), які розташовані біля кальцієвих каналів і блокують останні. Це приводить до різкого зменшення потрапляння йонів Са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2+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у клітину, и таким чином, до розслаблення м’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яза </w:t>
                  </w:r>
                  <w:r w:rsidRPr="00EB439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кровеносної судини, зниження тиску та полегшенню роботи серця при ішемічної хвороби та інфарктах</w:t>
                  </w:r>
                </w:p>
                <w:p w:rsidR="00585F10" w:rsidRPr="00EB439C" w:rsidRDefault="00585F10" w:rsidP="00EB439C">
                  <w:pPr>
                    <w:jc w:val="center"/>
                    <w:rPr>
                      <w:lang w:val="uk-UA"/>
                    </w:rPr>
                  </w:pPr>
                </w:p>
                <w:p w:rsidR="00585F10" w:rsidRPr="00EB439C" w:rsidRDefault="00585F10" w:rsidP="00EB439C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39C" w:rsidRDefault="00EB439C" w:rsidP="00EB4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632B5E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1" type="#_x0000_t32" style="position:absolute;margin-left:234.15pt;margin-top:6.35pt;width:0;height:11.4pt;z-index:251865088" o:connectortype="straight" strokeweight=".25pt">
            <v:stroke endarrow="block"/>
          </v:shape>
        </w:pict>
      </w:r>
    </w:p>
    <w:p w:rsidR="00DB7CF3" w:rsidRDefault="00632B5E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0" style="position:absolute;margin-left:24.15pt;margin-top:3.95pt;width:423.6pt;height:258.6pt;z-index:251864064">
            <v:textbox style="mso-next-textbox:#_x0000_s1230">
              <w:txbxContent>
                <w:p w:rsidR="00585F10" w:rsidRPr="00EB439C" w:rsidRDefault="00585F10" w:rsidP="00EB439C">
                  <w:pPr>
                    <w:jc w:val="center"/>
                    <w:rPr>
                      <w:lang w:val="uk-UA"/>
                    </w:rPr>
                  </w:pPr>
                  <w:r w:rsidRPr="00EB439C">
                    <w:rPr>
                      <w:noProof/>
                    </w:rPr>
                    <w:drawing>
                      <wp:inline distT="0" distB="0" distL="0" distR="0">
                        <wp:extent cx="4585335" cy="4095639"/>
                        <wp:effectExtent l="1905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5335" cy="4095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5F10" w:rsidRPr="00EB439C" w:rsidRDefault="00585F10" w:rsidP="00EB439C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7CF3" w:rsidRDefault="00DB7CF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P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11" w:rsidRDefault="00632B5E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240" style="position:absolute;margin-left:61.35pt;margin-top:.3pt;width:322.5pt;height:76.8pt;z-index:251868160" strokeweight="5pt">
            <v:stroke linestyle="thickThin"/>
            <v:shadow color="#868686"/>
            <v:textbox style="mso-next-textbox:#_x0000_s1240">
              <w:txbxContent>
                <w:p w:rsidR="00585F10" w:rsidRPr="00D1236A" w:rsidRDefault="00585F10" w:rsidP="00B53911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Препарати різних хімічних груп</w:t>
                  </w:r>
                </w:p>
                <w:p w:rsidR="00585F10" w:rsidRPr="00D1236A" w:rsidRDefault="00585F10" w:rsidP="00B53911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xbxContent>
            </v:textbox>
          </v:oval>
        </w:pict>
      </w: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Pr="00452080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632B5E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39" style="position:absolute;z-index:251867136" from="225.15pt,8.1pt" to="225.15pt,39.9pt" strokeweight="3pt">
            <v:stroke endarrow="block" linestyle="thinThin"/>
            <v:shadow color="#868686"/>
          </v:line>
        </w:pict>
      </w: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632B5E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45" style="position:absolute;margin-left:142.1pt;margin-top:12.3pt;width:161.7pt;height:50.4pt;z-index:251872256" arcsize="10923f" strokeweight="3pt">
            <v:stroke linestyle="thinThin"/>
            <v:textbox style="mso-next-textbox:#_x0000_s1245">
              <w:txbxContent>
                <w:p w:rsidR="00585F10" w:rsidRPr="00BF7CE8" w:rsidRDefault="00585F10" w:rsidP="00BF7CE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BF7CE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Милсидомін (сиднофарм)</w:t>
                  </w:r>
                </w:p>
              </w:txbxContent>
            </v:textbox>
          </v:roundrect>
        </w:pict>
      </w: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632B5E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46" style="position:absolute;z-index:251873280" from="225.15pt,7.5pt" to="225.15pt,39.3pt" strokeweight="3pt">
            <v:stroke endarrow="block" linestyle="thinThin"/>
            <v:shadow color="#868686"/>
          </v:line>
        </w:pict>
      </w:r>
    </w:p>
    <w:p w:rsidR="00BF7CE8" w:rsidRDefault="00BF7CE8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CE8" w:rsidRDefault="00632B5E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41" style="position:absolute;margin-left:147.2pt;margin-top:11.7pt;width:161.7pt;height:90pt;z-index:251869184" arcsize="10923f" strokeweight="3pt">
            <v:stroke linestyle="thinThin"/>
            <v:textbox style="mso-next-textbox:#_x0000_s1241">
              <w:txbxContent>
                <w:p w:rsidR="00585F10" w:rsidRPr="00BF7CE8" w:rsidRDefault="00585F10" w:rsidP="00B53911">
                  <w:pPr>
                    <w:jc w:val="center"/>
                    <w:rPr>
                      <w:szCs w:val="28"/>
                      <w:lang w:val="uk-UA"/>
                    </w:rPr>
                  </w:pPr>
                  <w:r>
                    <w:object w:dxaOrig="2752" w:dyaOrig="1428">
                      <v:shape id="_x0000_i1027" type="#_x0000_t75" style="width:137.25pt;height:71.25pt" o:ole="">
                        <v:imagedata r:id="rId12" o:title=""/>
                      </v:shape>
                      <o:OLEObject Type="Embed" ProgID="ChemDraw.Document.5.0" ShapeID="_x0000_i1027" DrawAspect="Content" ObjectID="_1645862833" r:id="rId13"/>
                    </w:object>
                  </w:r>
                </w:p>
              </w:txbxContent>
            </v:textbox>
          </v:roundrect>
        </w:pict>
      </w:r>
    </w:p>
    <w:p w:rsidR="00BF7CE8" w:rsidRDefault="00BF7CE8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CE8" w:rsidRDefault="00BF7CE8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CE8" w:rsidRDefault="00BF7CE8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CE8" w:rsidRDefault="00BF7CE8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CE8" w:rsidRDefault="00BF7CE8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632B5E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2" type="#_x0000_t32" style="position:absolute;margin-left:225.15pt;margin-top:5.15pt;width:0;height:28.25pt;z-index:251870208" o:connectortype="straight" strokeweight="1pt">
            <v:stroke endarrow="block"/>
          </v:shape>
        </w:pict>
      </w:r>
    </w:p>
    <w:p w:rsidR="00B53911" w:rsidRDefault="00B53911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632B5E" w:rsidP="00B53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43" style="position:absolute;margin-left:32.55pt;margin-top:5.75pt;width:382.2pt;height:181.2pt;z-index:251871232">
            <v:textbox style="mso-next-textbox:#_x0000_s1243">
              <w:txbxContent>
                <w:p w:rsidR="00585F10" w:rsidRPr="00BF7CE8" w:rsidRDefault="00585F10" w:rsidP="00BF7CE8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BF7CE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Механізм біодії</w:t>
                  </w:r>
                </w:p>
                <w:p w:rsidR="00585F10" w:rsidRPr="00BF7CE8" w:rsidRDefault="00585F10" w:rsidP="00BF7CE8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BF7CE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Милсидомін виявляє антиангінальний ефект, механізм якого подібний до механізму дії нітрогліцерину, але до миосидоліну не розвивається толерантність, оскільки для реалізації антиангінального ефекту не потрібна  взаємодія з SH-групами білків. В організмі він поступово перетворюється на NJ, що і зумовлює антаангінальний ефект. Зменшує навантаження на серце периферичного венозного та артеріального опору судин, діастолічного тиску у лівомушлуночку, навантаження на стінки міокарда. Внаслідок цього знижується потреба у кисні. Паралельно милсидолін підвищує вінцевий колатеральний кровообіг, чинить антиангінальний вплив, зменшує агрегацію тромбоцитів і підвищує толерантність до фізичних навантажень</w:t>
                  </w:r>
                </w:p>
                <w:p w:rsidR="00585F10" w:rsidRPr="00BF7CE8" w:rsidRDefault="00585F10" w:rsidP="00BF7CE8">
                  <w:pPr>
                    <w:ind w:firstLine="284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2080" w:rsidRDefault="00452080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911" w:rsidRDefault="00B53911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5126" w:rsidRDefault="00BC5126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Pr="00B53911" w:rsidRDefault="00632B5E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256" style="position:absolute;margin-left:61.35pt;margin-top:4.5pt;width:322.5pt;height:100.2pt;z-index:251876352" strokeweight="5pt">
            <v:stroke linestyle="thickThin"/>
            <v:shadow color="#868686"/>
            <v:textbox style="mso-next-textbox:#_x0000_s1256">
              <w:txbxContent>
                <w:p w:rsidR="00585F10" w:rsidRPr="00A965A3" w:rsidRDefault="00585F10" w:rsidP="00A965A3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 w:rsidRPr="00A965A3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Лікарські засоби, що знижують потребу міокарда в кисні</w:t>
                  </w:r>
                </w:p>
                <w:p w:rsidR="00585F10" w:rsidRPr="00A965A3" w:rsidRDefault="00585F10" w:rsidP="00A965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Pr="00452080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632B5E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55" style="position:absolute;z-index:251875328" from="225.15pt,8.1pt" to="225.15pt,39.9pt" strokeweight="3pt">
            <v:stroke endarrow="block" linestyle="thinThin"/>
            <v:shadow color="#868686"/>
          </v:line>
        </w:pict>
      </w: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632B5E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60" style="position:absolute;margin-left:131.55pt;margin-top:12.3pt;width:177pt;height:33.6pt;z-index:251880448" arcsize="10923f" strokeweight="3pt">
            <v:stroke linestyle="thinThin"/>
            <v:textbox style="mso-next-textbox:#_x0000_s1260">
              <w:txbxContent>
                <w:p w:rsidR="00585F10" w:rsidRPr="00BC5126" w:rsidRDefault="00585F10" w:rsidP="00A965A3">
                  <w:pPr>
                    <w:tabs>
                      <w:tab w:val="left" w:pos="3626"/>
                      <w:tab w:val="left" w:pos="785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965A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β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дреноблокатори</w:t>
                  </w:r>
                </w:p>
                <w:p w:rsidR="00585F10" w:rsidRPr="00A965A3" w:rsidRDefault="00585F10" w:rsidP="00A965A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632B5E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5" type="#_x0000_t32" style="position:absolute;margin-left:225.15pt;margin-top:4.5pt;width:0;height:28.25pt;z-index:251885568" o:connectortype="straight" strokeweight="1pt">
            <v:stroke endarrow="block"/>
          </v:shape>
        </w:pict>
      </w: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Pr="00FB0C40" w:rsidRDefault="00632B5E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62" style="position:absolute;margin-left:51.75pt;margin-top:5.15pt;width:366pt;height:95.4pt;z-index:251882496">
            <v:textbox style="mso-next-textbox:#_x0000_s1262">
              <w:txbxContent>
                <w:p w:rsidR="00585F10" w:rsidRPr="00BC5126" w:rsidRDefault="00585F10" w:rsidP="00BC5126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BC512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Антиангінальна дія </w:t>
                  </w:r>
                  <w:r w:rsidRPr="00BC512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β</w:t>
                  </w:r>
                  <w:r w:rsidRPr="00BC512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-адреноблокаторів досягається усуненню симпато-андреналових впливів на міокард, що зумовлює зменшення роботи серця (зниження сили й частоти скорочень).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BC512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-Адреноблокатори завдяки нег</w:t>
                  </w:r>
                  <w:r w:rsidRPr="00BC512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ативній інотропній дії сприяють зменшенню потреби міокарда в кисні. Позитивне значення має брадикардія, яку викликають деякі препарати цієї групи</w:t>
                  </w:r>
                </w:p>
                <w:p w:rsidR="00585F10" w:rsidRPr="00BC5126" w:rsidRDefault="00585F10" w:rsidP="00BC5126">
                  <w:pPr>
                    <w:ind w:firstLine="284"/>
                    <w:jc w:val="center"/>
                    <w:rPr>
                      <w:lang w:val="uk-UA"/>
                    </w:rPr>
                  </w:pPr>
                </w:p>
                <w:p w:rsidR="00585F10" w:rsidRPr="00EB439C" w:rsidRDefault="00585F10" w:rsidP="00A965A3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632B5E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4" type="#_x0000_t32" style="position:absolute;margin-left:233.55pt;margin-top:3.95pt;width:0;height:21.6pt;z-index:251884544" o:connectortype="straight" strokeweight=".25pt">
            <v:stroke endarrow="block"/>
          </v:shape>
        </w:pict>
      </w:r>
    </w:p>
    <w:p w:rsidR="00A965A3" w:rsidRDefault="00632B5E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3" style="position:absolute;margin-left:48.75pt;margin-top:11.8pt;width:369pt;height:205.2pt;z-index:251883520">
            <v:textbox style="mso-next-textbox:#_x0000_s1263">
              <w:txbxContent>
                <w:p w:rsidR="00585F10" w:rsidRPr="00EB439C" w:rsidRDefault="00585F10" w:rsidP="00A965A3">
                  <w:pPr>
                    <w:jc w:val="center"/>
                    <w:rPr>
                      <w:lang w:val="uk-UA"/>
                    </w:rPr>
                  </w:pPr>
                  <w:r>
                    <w:object w:dxaOrig="7036" w:dyaOrig="3672">
                      <v:shape id="_x0000_i1028" type="#_x0000_t75" style="width:351.75pt;height:183.75pt" o:ole="">
                        <v:imagedata r:id="rId14" o:title=""/>
                      </v:shape>
                      <o:OLEObject Type="Embed" ProgID="ChemDraw.Document.5.0" ShapeID="_x0000_i1028" DrawAspect="Content" ObjectID="_1645862834" r:id="rId15"/>
                    </w:object>
                  </w:r>
                </w:p>
              </w:txbxContent>
            </v:textbox>
          </v:rect>
        </w:pict>
      </w: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Pr="00B53911" w:rsidRDefault="00632B5E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267" style="position:absolute;margin-left:21.75pt;margin-top:1.5pt;width:322.5pt;height:100.2pt;z-index:251888640" strokeweight="5pt">
            <v:stroke linestyle="thickThin"/>
            <v:shadow color="#868686"/>
            <v:textbox style="mso-next-textbox:#_x0000_s1267">
              <w:txbxContent>
                <w:p w:rsidR="00585F10" w:rsidRPr="009574AA" w:rsidRDefault="00585F10" w:rsidP="009574AA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 w:rsidRPr="009574AA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Лікарські засоби, які підвищують транспорт кисню до міокарду</w:t>
                  </w:r>
                </w:p>
                <w:p w:rsidR="00585F10" w:rsidRPr="009574AA" w:rsidRDefault="00585F10" w:rsidP="009574AA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xbxContent>
            </v:textbox>
          </v:oval>
        </w:pict>
      </w: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Pr="0045208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Default="00632B5E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71" style="position:absolute;z-index:251892736" from="32.55pt,3.3pt" to="32.55pt,406.5pt" strokeweight="3pt">
            <v:stroke linestyle="thinThin"/>
          </v:line>
        </w:pict>
      </w: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Default="00632B5E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68" style="position:absolute;margin-left:64.35pt;margin-top:3.3pt;width:229.8pt;height:43.8pt;z-index:251889664" arcsize="10923f" strokeweight="3pt">
            <v:stroke linestyle="thinThin"/>
            <v:textbox style="mso-next-textbox:#_x0000_s1268">
              <w:txbxContent>
                <w:p w:rsidR="009574AA" w:rsidRPr="009574AA" w:rsidRDefault="009574AA" w:rsidP="009574AA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9574A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Вінцево розширюючи засоби міотропної дії</w:t>
                  </w:r>
                </w:p>
                <w:p w:rsidR="00585F10" w:rsidRPr="00A965A3" w:rsidRDefault="00585F10" w:rsidP="00585F10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585F10" w:rsidRDefault="00632B5E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66" style="position:absolute;z-index:251887616" from="32.55pt,11.1pt" to="64.35pt,11.1pt" strokeweight="3pt">
            <v:stroke endarrow="block" linestyle="thinThin"/>
            <v:shadow color="#868686"/>
          </v:line>
        </w:pict>
      </w: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74AA" w:rsidRDefault="00632B5E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7" type="#_x0000_t32" style="position:absolute;margin-left:174.15pt;margin-top:5.7pt;width:0;height:16.2pt;z-index:251898880" o:connectortype="straight" strokeweight=".25pt">
            <v:stroke endarrow="block"/>
          </v:shape>
        </w:pict>
      </w:r>
    </w:p>
    <w:p w:rsidR="009574AA" w:rsidRDefault="00632B5E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69" style="position:absolute;margin-left:51.75pt;margin-top:8.1pt;width:366pt;height:252.6pt;z-index:251890688">
            <v:textbox style="mso-next-textbox:#_x0000_s1269">
              <w:txbxContent>
                <w:p w:rsidR="005F320D" w:rsidRPr="005F320D" w:rsidRDefault="005F320D" w:rsidP="002C6BDB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object w:dxaOrig="2544" w:dyaOrig="2104">
                      <v:shape id="_x0000_i1029" type="#_x0000_t75" style="width:127.5pt;height:105pt" o:ole="">
                        <v:imagedata r:id="rId16" o:title=""/>
                      </v:shape>
                      <o:OLEObject Type="Embed" ProgID="ChemDraw.Document.5.0" ShapeID="_x0000_i1029" DrawAspect="Content" ObjectID="_1645862835" r:id="rId17"/>
                    </w:object>
                  </w:r>
                  <w:r>
                    <w:rPr>
                      <w:lang w:val="uk-UA"/>
                    </w:rPr>
                    <w:t xml:space="preserve">               </w:t>
                  </w:r>
                  <w:r>
                    <w:object w:dxaOrig="1796" w:dyaOrig="1876">
                      <v:shape id="_x0000_i1030" type="#_x0000_t75" style="width:90pt;height:93.75pt" o:ole="">
                        <v:imagedata r:id="rId18" o:title=""/>
                      </v:shape>
                      <o:OLEObject Type="Embed" ProgID="ChemDraw.Document.5.0" ShapeID="_x0000_i1030" DrawAspect="Content" ObjectID="_1645862836" r:id="rId19"/>
                    </w:object>
                  </w:r>
                </w:p>
                <w:p w:rsidR="005F320D" w:rsidRPr="005F320D" w:rsidRDefault="005F320D" w:rsidP="005F320D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5F320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Папаверину гідрохлорид (спазмолітик)</w:t>
                  </w:r>
                </w:p>
                <w:p w:rsidR="005F320D" w:rsidRPr="005F320D" w:rsidRDefault="005F320D" w:rsidP="005F320D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F320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Викликає помірне розширення вінцевих судин, пригнічує фосфодіестеразу, підвищує рівень цАМФ, знижує вміст кальцію у кардіоміоцитах. Незначною мірою пригнічує зворотне захоплення аденозину. Розширення вінцевих судин супроводжується несприятливим ефектом – підвищенням потреби міокарда в кисні, знижує тонус великих судин та артеріол, у тому числі судин мозку</w:t>
                  </w:r>
                </w:p>
                <w:p w:rsidR="005F320D" w:rsidRPr="005F320D" w:rsidRDefault="005F320D" w:rsidP="005F320D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5F320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Но-шпа (дротаверин)</w:t>
                  </w:r>
                </w:p>
                <w:p w:rsidR="005F320D" w:rsidRPr="005F320D" w:rsidRDefault="005F320D" w:rsidP="005F320D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F320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Розширювальна дія відносно вінцевих судин вираженіша і триваліша</w:t>
                  </w:r>
                </w:p>
                <w:p w:rsidR="005F320D" w:rsidRPr="005F320D" w:rsidRDefault="005F320D" w:rsidP="005F320D">
                  <w:pPr>
                    <w:jc w:val="both"/>
                  </w:pPr>
                </w:p>
              </w:txbxContent>
            </v:textbox>
          </v:rect>
        </w:pict>
      </w:r>
    </w:p>
    <w:p w:rsidR="005F320D" w:rsidRDefault="005F320D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5F10" w:rsidRPr="00FB0C40" w:rsidRDefault="00585F10" w:rsidP="00585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Pr="00B53911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Default="00A965A3" w:rsidP="00A965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Pr="005F320D" w:rsidRDefault="00632B5E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74" style="position:absolute;margin-left:64.35pt;margin-top:12.3pt;width:229.8pt;height:43.8pt;z-index:251895808" arcsize="10923f" strokeweight="3pt">
            <v:stroke linestyle="thinThin"/>
            <v:textbox style="mso-next-textbox:#_x0000_s1274">
              <w:txbxContent>
                <w:p w:rsidR="005F320D" w:rsidRPr="005F320D" w:rsidRDefault="005F320D" w:rsidP="005F320D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5F320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Засоби рефлекторної дії, що усувають спазм вінцевих артерій</w:t>
                  </w:r>
                </w:p>
                <w:p w:rsidR="005F320D" w:rsidRPr="00A965A3" w:rsidRDefault="005F320D" w:rsidP="005F320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632B5E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73" style="position:absolute;z-index:251894784" from="32.55pt,6.35pt" to="64.35pt,6.35pt" strokeweight="3pt">
            <v:stroke endarrow="block" linestyle="thinThin"/>
            <v:shadow color="#868686"/>
          </v:line>
        </w:pict>
      </w: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632B5E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8" type="#_x0000_t32" style="position:absolute;margin-left:178.95pt;margin-top:.9pt;width:0;height:16.2pt;z-index:251899904" o:connectortype="straight" strokeweight=".25pt">
            <v:stroke endarrow="block"/>
          </v:shape>
        </w:pict>
      </w:r>
    </w:p>
    <w:p w:rsidR="005F320D" w:rsidRDefault="00632B5E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2B5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75" style="position:absolute;margin-left:51.75pt;margin-top:3.3pt;width:366pt;height:159.65pt;z-index:251896832">
            <v:textbox style="mso-next-textbox:#_x0000_s1275">
              <w:txbxContent>
                <w:p w:rsidR="005F320D" w:rsidRPr="005F320D" w:rsidRDefault="005F320D" w:rsidP="002C6BDB">
                  <w:pPr>
                    <w:spacing w:after="0"/>
                    <w:jc w:val="both"/>
                    <w:rPr>
                      <w:lang w:val="uk-UA"/>
                    </w:rPr>
                  </w:pPr>
                  <w:r>
                    <w:object w:dxaOrig="4743" w:dyaOrig="1616">
                      <v:shape id="_x0000_i1031" type="#_x0000_t75" style="width:237pt;height:81pt" o:ole="">
                        <v:imagedata r:id="rId20" o:title=""/>
                      </v:shape>
                      <o:OLEObject Type="Embed" ProgID="ChemDraw.Document.5.0" ShapeID="_x0000_i1031" DrawAspect="Content" ObjectID="_1645862837" r:id="rId21"/>
                    </w:object>
                  </w:r>
                </w:p>
                <w:p w:rsidR="002C6BDB" w:rsidRPr="002C6BDB" w:rsidRDefault="002C6BDB" w:rsidP="002C6BDB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2C6BD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Валідол (25-30 % розчин ментолу в метиловому етері ізовалеріанової кислоти)</w:t>
                  </w:r>
                </w:p>
                <w:p w:rsidR="002C6BDB" w:rsidRPr="002C6BDB" w:rsidRDefault="002C6BDB" w:rsidP="002C6BDB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2C6BD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Діє заспокійливо на ЦНС. Подразнюючи холодові рецептори слизової оболонки порожнини рота, рефлекторно викликає розширення вінцевих судин</w:t>
                  </w:r>
                </w:p>
                <w:p w:rsidR="005F320D" w:rsidRPr="002C6BDB" w:rsidRDefault="005F320D" w:rsidP="002C6BDB">
                  <w:pPr>
                    <w:tabs>
                      <w:tab w:val="left" w:pos="3060"/>
                    </w:tabs>
                    <w:spacing w:after="0" w:line="240" w:lineRule="auto"/>
                    <w:ind w:firstLine="284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Pr="00FB0C40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Pr="00B53911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20D" w:rsidRDefault="005F320D" w:rsidP="005F3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5A3" w:rsidRPr="005C2E30" w:rsidRDefault="00A965A3" w:rsidP="00A27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65A3" w:rsidRPr="005C2E30" w:rsidSect="00E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12" w:rsidRDefault="009C1C12" w:rsidP="00EB439C">
      <w:pPr>
        <w:spacing w:after="0" w:line="240" w:lineRule="auto"/>
      </w:pPr>
      <w:r>
        <w:separator/>
      </w:r>
    </w:p>
  </w:endnote>
  <w:endnote w:type="continuationSeparator" w:id="1">
    <w:p w:rsidR="009C1C12" w:rsidRDefault="009C1C12" w:rsidP="00E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12" w:rsidRDefault="009C1C12" w:rsidP="00EB439C">
      <w:pPr>
        <w:spacing w:after="0" w:line="240" w:lineRule="auto"/>
      </w:pPr>
      <w:r>
        <w:separator/>
      </w:r>
    </w:p>
  </w:footnote>
  <w:footnote w:type="continuationSeparator" w:id="1">
    <w:p w:rsidR="009C1C12" w:rsidRDefault="009C1C12" w:rsidP="00EB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E4D"/>
    <w:rsid w:val="000A5D2F"/>
    <w:rsid w:val="000C01FD"/>
    <w:rsid w:val="000C2FC2"/>
    <w:rsid w:val="00150455"/>
    <w:rsid w:val="00170CC8"/>
    <w:rsid w:val="001B66E1"/>
    <w:rsid w:val="002C6BDB"/>
    <w:rsid w:val="0034173B"/>
    <w:rsid w:val="00366E65"/>
    <w:rsid w:val="003D4A55"/>
    <w:rsid w:val="00452080"/>
    <w:rsid w:val="00557FBB"/>
    <w:rsid w:val="00585F10"/>
    <w:rsid w:val="00591E2F"/>
    <w:rsid w:val="005C2E30"/>
    <w:rsid w:val="005F320D"/>
    <w:rsid w:val="00632B5E"/>
    <w:rsid w:val="00711427"/>
    <w:rsid w:val="007918D8"/>
    <w:rsid w:val="007B10AF"/>
    <w:rsid w:val="008A2058"/>
    <w:rsid w:val="008A2FB5"/>
    <w:rsid w:val="008C1DF3"/>
    <w:rsid w:val="008C56F1"/>
    <w:rsid w:val="008F1373"/>
    <w:rsid w:val="0093464C"/>
    <w:rsid w:val="009574AA"/>
    <w:rsid w:val="009C1C12"/>
    <w:rsid w:val="009F21E3"/>
    <w:rsid w:val="00A27E4D"/>
    <w:rsid w:val="00A648AF"/>
    <w:rsid w:val="00A965A3"/>
    <w:rsid w:val="00AF57E0"/>
    <w:rsid w:val="00B25F9F"/>
    <w:rsid w:val="00B53911"/>
    <w:rsid w:val="00B739B5"/>
    <w:rsid w:val="00B84CE3"/>
    <w:rsid w:val="00BC5126"/>
    <w:rsid w:val="00BD3406"/>
    <w:rsid w:val="00BD59BC"/>
    <w:rsid w:val="00BF42FB"/>
    <w:rsid w:val="00BF6402"/>
    <w:rsid w:val="00BF7CE8"/>
    <w:rsid w:val="00C44AEA"/>
    <w:rsid w:val="00C50649"/>
    <w:rsid w:val="00C84328"/>
    <w:rsid w:val="00CB0381"/>
    <w:rsid w:val="00D202BD"/>
    <w:rsid w:val="00D20653"/>
    <w:rsid w:val="00DB7CF3"/>
    <w:rsid w:val="00E011CA"/>
    <w:rsid w:val="00E73266"/>
    <w:rsid w:val="00EB439C"/>
    <w:rsid w:val="00EF2E3B"/>
    <w:rsid w:val="00F0294E"/>
    <w:rsid w:val="00FB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5" type="connector" idref="#_x0000_s1196"/>
        <o:r id="V:Rule66" type="connector" idref="#_x0000_s1242"/>
        <o:r id="V:Rule67" type="connector" idref="#_x0000_s1210"/>
        <o:r id="V:Rule70" type="connector" idref="#_x0000_s1231"/>
        <o:r id="V:Rule72" type="connector" idref="#_x0000_s1206"/>
        <o:r id="V:Rule73" type="connector" idref="#_x0000_s1216"/>
        <o:r id="V:Rule77" type="connector" idref="#_x0000_s1204"/>
        <o:r id="V:Rule84" type="connector" idref="#_x0000_s1217"/>
        <o:r id="V:Rule91" type="connector" idref="#_x0000_s1201"/>
        <o:r id="V:Rule95" type="connector" idref="#_x0000_s1203"/>
        <o:r id="V:Rule104" type="connector" idref="#_x0000_s1264"/>
        <o:r id="V:Rule106" type="connector" idref="#_x0000_s1265"/>
        <o:r id="V:Rule107" type="connector" idref="#_x0000_s1227"/>
        <o:r id="V:Rule111" type="connector" idref="#_x0000_s1222"/>
        <o:r id="V:Rule112" type="connector" idref="#_x0000_s1215"/>
        <o:r id="V:Rule113" type="connector" idref="#_x0000_s1277"/>
        <o:r id="V:Rule116" type="connector" idref="#_x0000_s1278"/>
        <o:r id="V:Rule124" type="connector" idref="#_x0000_s1202"/>
        <o:r id="V:Rule125" type="connector" idref="#_x0000_s12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439C"/>
  </w:style>
  <w:style w:type="paragraph" w:styleId="a7">
    <w:name w:val="footer"/>
    <w:basedOn w:val="a"/>
    <w:link w:val="a8"/>
    <w:uiPriority w:val="99"/>
    <w:semiHidden/>
    <w:unhideWhenUsed/>
    <w:rsid w:val="00EB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439C"/>
  </w:style>
  <w:style w:type="character" w:customStyle="1" w:styleId="a9">
    <w:name w:val="Основной текст с отступом Знак"/>
    <w:link w:val="aa"/>
    <w:semiHidden/>
    <w:locked/>
    <w:rsid w:val="005C2E30"/>
    <w:rPr>
      <w:color w:val="000000"/>
      <w:spacing w:val="26"/>
      <w:sz w:val="28"/>
      <w:szCs w:val="28"/>
    </w:rPr>
  </w:style>
  <w:style w:type="paragraph" w:styleId="aa">
    <w:name w:val="Body Text Indent"/>
    <w:basedOn w:val="a"/>
    <w:link w:val="a9"/>
    <w:semiHidden/>
    <w:rsid w:val="005C2E30"/>
    <w:pPr>
      <w:spacing w:after="120"/>
      <w:ind w:left="283"/>
      <w:jc w:val="center"/>
    </w:pPr>
    <w:rPr>
      <w:color w:val="000000"/>
      <w:spacing w:val="26"/>
      <w:sz w:val="28"/>
      <w:szCs w:val="28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5C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951F-9932-4562-B0CC-47946E8F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Alex_r</cp:lastModifiedBy>
  <cp:revision>24</cp:revision>
  <dcterms:created xsi:type="dcterms:W3CDTF">2020-01-11T19:44:00Z</dcterms:created>
  <dcterms:modified xsi:type="dcterms:W3CDTF">2020-03-16T09:20:00Z</dcterms:modified>
</cp:coreProperties>
</file>